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520F33A8"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983A79">
        <w:rPr>
          <w:rFonts w:ascii="Tahoma" w:hAnsi="Tahoma" w:cs="Tahoma"/>
          <w:b/>
          <w:bCs/>
          <w:sz w:val="32"/>
        </w:rPr>
        <w:t>7</w:t>
      </w:r>
      <w:r w:rsidR="000901A4">
        <w:rPr>
          <w:rFonts w:ascii="Tahoma" w:hAnsi="Tahoma" w:cs="Tahoma"/>
          <w:b/>
          <w:bCs/>
          <w:sz w:val="32"/>
        </w:rPr>
        <w:t>5</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13D5F30B"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983A79">
        <w:rPr>
          <w:rFonts w:ascii="Arial" w:hAnsi="Arial" w:cs="Arial"/>
          <w:bCs/>
        </w:rPr>
        <w:t xml:space="preserve"> su </w:t>
      </w:r>
      <w:r w:rsidR="000901A4">
        <w:rPr>
          <w:rFonts w:ascii="Arial" w:hAnsi="Arial" w:cs="Arial"/>
          <w:bCs/>
        </w:rPr>
        <w:t>conocimiento que en Sesión O</w:t>
      </w:r>
      <w:r w:rsidR="000901A4" w:rsidRPr="000A3A71">
        <w:rPr>
          <w:rFonts w:ascii="Arial" w:hAnsi="Arial" w:cs="Arial"/>
          <w:bCs/>
        </w:rPr>
        <w:t xml:space="preserve">rdinaria </w:t>
      </w:r>
      <w:r w:rsidRPr="000A3A71">
        <w:rPr>
          <w:rFonts w:ascii="Arial" w:hAnsi="Arial" w:cs="Arial"/>
          <w:bCs/>
        </w:rPr>
        <w:t xml:space="preserve">de fecha </w:t>
      </w:r>
      <w:r w:rsidR="00983A79">
        <w:rPr>
          <w:rFonts w:ascii="Arial" w:hAnsi="Arial" w:cs="Arial"/>
          <w:bCs/>
        </w:rPr>
        <w:t>2</w:t>
      </w:r>
      <w:r w:rsidR="00484286">
        <w:rPr>
          <w:rFonts w:ascii="Arial" w:hAnsi="Arial" w:cs="Arial"/>
          <w:bCs/>
        </w:rPr>
        <w:t>5</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7EEDF1C6" w14:textId="77777777" w:rsidR="000901A4" w:rsidRPr="000901A4" w:rsidRDefault="006A710F" w:rsidP="000901A4">
      <w:pPr>
        <w:autoSpaceDE w:val="0"/>
        <w:autoSpaceDN w:val="0"/>
        <w:adjustRightInd w:val="0"/>
        <w:ind w:left="426" w:right="49"/>
        <w:jc w:val="both"/>
        <w:rPr>
          <w:rFonts w:ascii="Arial" w:hAnsi="Arial" w:cs="Arial"/>
          <w:b/>
          <w:bCs/>
          <w:sz w:val="22"/>
          <w:szCs w:val="22"/>
        </w:rPr>
      </w:pPr>
      <w:r w:rsidRPr="000901A4">
        <w:rPr>
          <w:rFonts w:ascii="Arial" w:hAnsi="Arial" w:cs="Arial"/>
          <w:b/>
          <w:bCs/>
          <w:sz w:val="22"/>
          <w:szCs w:val="22"/>
        </w:rPr>
        <w:t>“…</w:t>
      </w:r>
      <w:r w:rsidR="000901A4" w:rsidRPr="000901A4">
        <w:rPr>
          <w:rFonts w:ascii="Arial" w:hAnsi="Arial" w:cs="Arial"/>
          <w:b/>
          <w:bCs/>
          <w:sz w:val="22"/>
          <w:szCs w:val="22"/>
        </w:rPr>
        <w:t>ACUERDO GENERAL NÚMERO 39/CJCAM/20-2021, DEL PLENO DEL CONSEJO DE LA JUDICATURA LOCAL, RELATIVO A LA HABILITACIÓN DE LA LÍNEA TELEFÓNICA DE APOYO Y CONTENCIÓN PSICOEMOCIONAL PARA LOS ALUMNOS DE LA ESCUELA JUDICIAL DEL ESTADO, COMO PARTE DE LAS MEDIDAS DE CONTINGENCIA POR EL FENÓMENO DE SALUD PÚBLICA DERIVADO DEL VIRUS SARS-CoV2 (COVID-19).</w:t>
      </w:r>
    </w:p>
    <w:p w14:paraId="09612641" w14:textId="77777777" w:rsidR="000901A4" w:rsidRPr="000901A4" w:rsidRDefault="000901A4" w:rsidP="000901A4">
      <w:pPr>
        <w:autoSpaceDE w:val="0"/>
        <w:autoSpaceDN w:val="0"/>
        <w:adjustRightInd w:val="0"/>
        <w:ind w:left="426" w:right="49"/>
        <w:jc w:val="both"/>
        <w:rPr>
          <w:rFonts w:ascii="Arial" w:hAnsi="Arial" w:cs="Arial"/>
          <w:b/>
          <w:bCs/>
          <w:sz w:val="22"/>
          <w:szCs w:val="22"/>
        </w:rPr>
      </w:pPr>
    </w:p>
    <w:p w14:paraId="6F053FB0" w14:textId="77777777" w:rsidR="000901A4" w:rsidRPr="000901A4" w:rsidRDefault="000901A4" w:rsidP="000901A4">
      <w:pPr>
        <w:tabs>
          <w:tab w:val="center" w:pos="4419"/>
          <w:tab w:val="left" w:pos="6300"/>
        </w:tabs>
        <w:autoSpaceDE w:val="0"/>
        <w:autoSpaceDN w:val="0"/>
        <w:adjustRightInd w:val="0"/>
        <w:ind w:left="426" w:right="49"/>
        <w:jc w:val="both"/>
        <w:rPr>
          <w:rFonts w:ascii="Arial" w:hAnsi="Arial" w:cs="Arial"/>
          <w:b/>
          <w:bCs/>
          <w:sz w:val="22"/>
          <w:szCs w:val="22"/>
        </w:rPr>
      </w:pPr>
      <w:r w:rsidRPr="000901A4">
        <w:rPr>
          <w:rFonts w:ascii="Arial" w:hAnsi="Arial" w:cs="Arial"/>
          <w:b/>
          <w:bCs/>
          <w:sz w:val="22"/>
          <w:szCs w:val="22"/>
        </w:rPr>
        <w:tab/>
        <w:t>CONSIDERANDOS</w:t>
      </w:r>
      <w:r w:rsidRPr="000901A4">
        <w:rPr>
          <w:rFonts w:ascii="Arial" w:hAnsi="Arial" w:cs="Arial"/>
          <w:b/>
          <w:bCs/>
          <w:sz w:val="22"/>
          <w:szCs w:val="22"/>
        </w:rPr>
        <w:tab/>
      </w:r>
    </w:p>
    <w:p w14:paraId="376925FE" w14:textId="77777777" w:rsidR="000901A4" w:rsidRPr="000901A4" w:rsidRDefault="000901A4" w:rsidP="000901A4">
      <w:pPr>
        <w:autoSpaceDE w:val="0"/>
        <w:autoSpaceDN w:val="0"/>
        <w:adjustRightInd w:val="0"/>
        <w:ind w:left="426" w:right="49"/>
        <w:jc w:val="both"/>
        <w:rPr>
          <w:rFonts w:ascii="Arial" w:hAnsi="Arial" w:cs="Arial"/>
          <w:b/>
          <w:bCs/>
          <w:sz w:val="22"/>
          <w:szCs w:val="22"/>
        </w:rPr>
      </w:pPr>
    </w:p>
    <w:p w14:paraId="57E36035" w14:textId="77777777" w:rsidR="000901A4" w:rsidRPr="000901A4" w:rsidRDefault="000901A4" w:rsidP="000901A4">
      <w:pPr>
        <w:ind w:left="426" w:right="49"/>
        <w:jc w:val="both"/>
        <w:rPr>
          <w:rFonts w:ascii="Arial" w:hAnsi="Arial" w:cs="Arial"/>
          <w:sz w:val="22"/>
          <w:szCs w:val="22"/>
        </w:rPr>
      </w:pPr>
      <w:r w:rsidRPr="000901A4">
        <w:rPr>
          <w:rFonts w:ascii="Arial" w:hAnsi="Arial" w:cs="Arial"/>
          <w:b/>
          <w:sz w:val="22"/>
          <w:szCs w:val="22"/>
        </w:rPr>
        <w:t>PRIMERO.</w:t>
      </w:r>
      <w:r w:rsidRPr="000901A4">
        <w:rPr>
          <w:rFonts w:ascii="Arial" w:hAnsi="Arial" w:cs="Arial"/>
          <w:sz w:val="22"/>
          <w:szCs w:val="22"/>
        </w:rPr>
        <w:t xml:space="preserve"> Que el artículo 26 de la Constitución Política del Estado de Campeche, establece que el Poder Público de la entidad se divide para su ejercicio en Legislativo, Ejecutivo y Judicial.</w:t>
      </w:r>
    </w:p>
    <w:p w14:paraId="48EEB06A" w14:textId="77777777" w:rsidR="000901A4" w:rsidRPr="000901A4" w:rsidRDefault="000901A4" w:rsidP="000901A4">
      <w:pPr>
        <w:ind w:left="426" w:right="49"/>
        <w:jc w:val="both"/>
        <w:rPr>
          <w:rFonts w:ascii="Arial" w:hAnsi="Arial" w:cs="Arial"/>
          <w:sz w:val="22"/>
          <w:szCs w:val="22"/>
        </w:rPr>
      </w:pPr>
    </w:p>
    <w:p w14:paraId="07F2A036" w14:textId="77777777" w:rsidR="000901A4" w:rsidRPr="000901A4" w:rsidRDefault="000901A4" w:rsidP="000901A4">
      <w:pPr>
        <w:ind w:left="426" w:right="49"/>
        <w:jc w:val="both"/>
        <w:rPr>
          <w:rFonts w:ascii="Arial" w:hAnsi="Arial" w:cs="Arial"/>
          <w:sz w:val="22"/>
          <w:szCs w:val="22"/>
        </w:rPr>
      </w:pPr>
      <w:r w:rsidRPr="000901A4">
        <w:rPr>
          <w:rFonts w:ascii="Arial" w:hAnsi="Arial" w:cs="Arial"/>
          <w:b/>
          <w:sz w:val="22"/>
          <w:szCs w:val="22"/>
        </w:rPr>
        <w:t>SEGUNDO.</w:t>
      </w:r>
      <w:r w:rsidRPr="000901A4">
        <w:rPr>
          <w:rFonts w:ascii="Arial" w:hAnsi="Arial" w:cs="Arial"/>
          <w:sz w:val="22"/>
          <w:szCs w:val="22"/>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01F8F8F5" w14:textId="77777777" w:rsidR="000901A4" w:rsidRPr="000901A4" w:rsidRDefault="000901A4" w:rsidP="000901A4">
      <w:pPr>
        <w:ind w:left="426" w:right="49"/>
        <w:jc w:val="both"/>
        <w:rPr>
          <w:rFonts w:ascii="Arial" w:hAnsi="Arial" w:cs="Arial"/>
          <w:sz w:val="22"/>
          <w:szCs w:val="22"/>
        </w:rPr>
      </w:pPr>
    </w:p>
    <w:p w14:paraId="47739177" w14:textId="77777777" w:rsidR="000901A4" w:rsidRPr="000901A4" w:rsidRDefault="000901A4" w:rsidP="000901A4">
      <w:pPr>
        <w:ind w:left="426" w:right="49"/>
        <w:jc w:val="both"/>
        <w:rPr>
          <w:rFonts w:ascii="Arial" w:hAnsi="Arial" w:cs="Arial"/>
          <w:sz w:val="22"/>
          <w:szCs w:val="22"/>
        </w:rPr>
      </w:pPr>
      <w:r w:rsidRPr="000901A4">
        <w:rPr>
          <w:rFonts w:ascii="Arial" w:hAnsi="Arial" w:cs="Arial"/>
          <w:b/>
          <w:sz w:val="22"/>
          <w:szCs w:val="22"/>
        </w:rPr>
        <w:t>TERCERO.</w:t>
      </w:r>
      <w:r w:rsidRPr="000901A4">
        <w:rPr>
          <w:rFonts w:ascii="Arial" w:hAnsi="Arial" w:cs="Arial"/>
          <w:sz w:val="22"/>
          <w:szCs w:val="22"/>
        </w:rPr>
        <w:t xml:space="preserve"> 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w:t>
      </w:r>
    </w:p>
    <w:p w14:paraId="37A0607E" w14:textId="77777777" w:rsidR="000901A4" w:rsidRPr="000901A4" w:rsidRDefault="000901A4" w:rsidP="000901A4">
      <w:pPr>
        <w:ind w:left="426" w:right="49"/>
        <w:jc w:val="both"/>
        <w:rPr>
          <w:rFonts w:ascii="Arial" w:hAnsi="Arial" w:cs="Arial"/>
          <w:sz w:val="22"/>
          <w:szCs w:val="22"/>
        </w:rPr>
      </w:pPr>
    </w:p>
    <w:p w14:paraId="1EA29F96" w14:textId="77777777" w:rsidR="000901A4" w:rsidRDefault="000901A4" w:rsidP="000901A4">
      <w:pPr>
        <w:ind w:left="426" w:right="49"/>
        <w:jc w:val="both"/>
        <w:rPr>
          <w:rFonts w:ascii="Arial" w:hAnsi="Arial" w:cs="Arial"/>
          <w:color w:val="FFFFFF"/>
          <w:sz w:val="22"/>
          <w:szCs w:val="22"/>
        </w:rPr>
      </w:pPr>
      <w:r w:rsidRPr="000901A4">
        <w:rPr>
          <w:rFonts w:ascii="Arial" w:hAnsi="Arial" w:cs="Arial"/>
          <w:b/>
          <w:sz w:val="22"/>
          <w:szCs w:val="22"/>
        </w:rPr>
        <w:t xml:space="preserve">CUARTO. </w:t>
      </w:r>
      <w:r w:rsidRPr="000901A4">
        <w:rPr>
          <w:rFonts w:ascii="Arial" w:hAnsi="Arial" w:cs="Arial"/>
          <w:sz w:val="22"/>
          <w:szCs w:val="22"/>
        </w:rPr>
        <w:t xml:space="preserve">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w:t>
      </w:r>
      <w:r w:rsidRPr="000901A4">
        <w:rPr>
          <w:rFonts w:ascii="Arial" w:hAnsi="Arial" w:cs="Arial"/>
          <w:color w:val="FFFFFF"/>
          <w:sz w:val="22"/>
          <w:szCs w:val="22"/>
        </w:rPr>
        <w:t>–</w:t>
      </w:r>
    </w:p>
    <w:p w14:paraId="0B5272F8" w14:textId="77777777" w:rsidR="000901A4" w:rsidRPr="000901A4" w:rsidRDefault="000901A4" w:rsidP="000901A4">
      <w:pPr>
        <w:ind w:left="426" w:right="49"/>
        <w:jc w:val="both"/>
        <w:rPr>
          <w:rFonts w:ascii="Arial" w:hAnsi="Arial" w:cs="Arial"/>
          <w:color w:val="FFFFFF"/>
          <w:sz w:val="22"/>
          <w:szCs w:val="22"/>
        </w:rPr>
      </w:pPr>
    </w:p>
    <w:p w14:paraId="5FD100DA" w14:textId="77777777" w:rsidR="000901A4" w:rsidRPr="000901A4" w:rsidRDefault="000901A4" w:rsidP="000901A4">
      <w:pPr>
        <w:ind w:left="426" w:right="49"/>
        <w:jc w:val="both"/>
        <w:rPr>
          <w:rFonts w:ascii="Arial" w:hAnsi="Arial" w:cs="Arial"/>
          <w:color w:val="FFFFFF"/>
          <w:sz w:val="22"/>
          <w:szCs w:val="22"/>
        </w:rPr>
      </w:pPr>
      <w:r w:rsidRPr="000901A4">
        <w:rPr>
          <w:rFonts w:ascii="Arial" w:hAnsi="Arial" w:cs="Arial"/>
          <w:b/>
          <w:sz w:val="22"/>
          <w:szCs w:val="22"/>
        </w:rPr>
        <w:t xml:space="preserve">QUINTO. </w:t>
      </w:r>
      <w:r w:rsidRPr="000901A4">
        <w:rPr>
          <w:rFonts w:ascii="Arial" w:hAnsi="Arial" w:cs="Arial"/>
          <w:sz w:val="22"/>
          <w:szCs w:val="22"/>
        </w:rPr>
        <w:t xml:space="preserve">Que el treinta de enero de dos mil veinte, la Organización Mundial de la Salud (OMS) emitió la Declaratoria de Emergencia de Salud Pública de Importancia Internacional (ESPII) por la propagación internacional del virus COVID-19 o nCoV-19, </w:t>
      </w:r>
      <w:r w:rsidRPr="000901A4">
        <w:rPr>
          <w:rFonts w:ascii="Arial" w:hAnsi="Arial" w:cs="Arial"/>
          <w:sz w:val="22"/>
          <w:szCs w:val="22"/>
        </w:rPr>
        <w:lastRenderedPageBreak/>
        <w:t>conocido coloquialmente como CORONAVIRUS; así también, ha emitido la declaración de pandemia.</w:t>
      </w:r>
      <w:r w:rsidRPr="000901A4">
        <w:rPr>
          <w:rFonts w:ascii="Arial" w:hAnsi="Arial" w:cs="Arial"/>
          <w:color w:val="FFFFFF"/>
          <w:sz w:val="22"/>
          <w:szCs w:val="22"/>
        </w:rPr>
        <w:t xml:space="preserve"> </w:t>
      </w:r>
    </w:p>
    <w:p w14:paraId="701A9059" w14:textId="77777777" w:rsidR="000901A4" w:rsidRPr="000901A4" w:rsidRDefault="000901A4" w:rsidP="000901A4">
      <w:pPr>
        <w:ind w:left="426" w:right="49"/>
        <w:jc w:val="both"/>
        <w:rPr>
          <w:rFonts w:ascii="Arial" w:hAnsi="Arial" w:cs="Arial"/>
          <w:sz w:val="22"/>
          <w:szCs w:val="22"/>
        </w:rPr>
      </w:pPr>
    </w:p>
    <w:p w14:paraId="4620886A" w14:textId="77777777" w:rsidR="000901A4" w:rsidRPr="000901A4" w:rsidRDefault="000901A4" w:rsidP="000901A4">
      <w:pPr>
        <w:widowControl w:val="0"/>
        <w:autoSpaceDE w:val="0"/>
        <w:autoSpaceDN w:val="0"/>
        <w:adjustRightInd w:val="0"/>
        <w:ind w:left="426" w:right="49"/>
        <w:jc w:val="both"/>
        <w:rPr>
          <w:rFonts w:ascii="Arial" w:eastAsia="Calibri" w:hAnsi="Arial" w:cs="Arial"/>
          <w:bCs/>
          <w:color w:val="FFFFFF"/>
          <w:sz w:val="22"/>
          <w:szCs w:val="22"/>
        </w:rPr>
      </w:pPr>
      <w:r w:rsidRPr="000901A4">
        <w:rPr>
          <w:rFonts w:ascii="Arial" w:eastAsia="Calibri" w:hAnsi="Arial" w:cs="Arial"/>
          <w:b/>
          <w:sz w:val="22"/>
          <w:szCs w:val="22"/>
        </w:rPr>
        <w:t xml:space="preserve">SEXTO. </w:t>
      </w:r>
      <w:r w:rsidRPr="000901A4">
        <w:rPr>
          <w:rFonts w:ascii="Arial" w:eastAsia="Calibri" w:hAnsi="Arial" w:cs="Arial"/>
          <w:bCs/>
          <w:sz w:val="22"/>
          <w:szCs w:val="22"/>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w:t>
      </w:r>
      <w:r w:rsidRPr="000901A4">
        <w:rPr>
          <w:rFonts w:ascii="Arial" w:eastAsia="Calibri" w:hAnsi="Arial" w:cs="Arial"/>
          <w:bCs/>
          <w:color w:val="FFFFFF"/>
          <w:sz w:val="22"/>
          <w:szCs w:val="22"/>
        </w:rPr>
        <w:t xml:space="preserve">– </w:t>
      </w:r>
    </w:p>
    <w:p w14:paraId="691E1B81" w14:textId="77777777" w:rsidR="000901A4" w:rsidRPr="000901A4" w:rsidRDefault="000901A4" w:rsidP="000901A4">
      <w:pPr>
        <w:widowControl w:val="0"/>
        <w:autoSpaceDE w:val="0"/>
        <w:autoSpaceDN w:val="0"/>
        <w:adjustRightInd w:val="0"/>
        <w:ind w:left="426" w:right="49"/>
        <w:jc w:val="both"/>
        <w:rPr>
          <w:rFonts w:ascii="Arial" w:eastAsia="Calibri" w:hAnsi="Arial" w:cs="Arial"/>
          <w:b/>
          <w:sz w:val="22"/>
          <w:szCs w:val="22"/>
        </w:rPr>
      </w:pPr>
    </w:p>
    <w:p w14:paraId="43120B44"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r w:rsidRPr="000901A4">
        <w:rPr>
          <w:rFonts w:ascii="Arial" w:eastAsia="Calibri" w:hAnsi="Arial" w:cs="Arial"/>
          <w:b/>
          <w:sz w:val="22"/>
          <w:szCs w:val="22"/>
          <w:lang w:val="es-MX"/>
        </w:rPr>
        <w:t>SÉPTIMO.</w:t>
      </w:r>
      <w:r w:rsidRPr="000901A4">
        <w:rPr>
          <w:rFonts w:ascii="Arial" w:eastAsia="Calibri" w:hAnsi="Arial" w:cs="Arial"/>
          <w:bCs/>
          <w:sz w:val="22"/>
          <w:szCs w:val="22"/>
          <w:lang w:val="es-MX"/>
        </w:rPr>
        <w:t xml:space="preserve"> Que conforme al artículo 4, fracción II, punto 2, inciso b) de la Ley Orgánica del Poder Judicial del Estado, la Escuela Judicial del Estado es un órgano auxiliar del Consejo de la Judicatura Local, dentro de la estructura del Poder Judicial del Estado. </w:t>
      </w:r>
    </w:p>
    <w:p w14:paraId="2646FCA8"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p>
    <w:p w14:paraId="0C57816A"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r w:rsidRPr="000901A4">
        <w:rPr>
          <w:rFonts w:ascii="Arial" w:eastAsia="Calibri" w:hAnsi="Arial" w:cs="Arial"/>
          <w:b/>
          <w:sz w:val="22"/>
          <w:szCs w:val="22"/>
          <w:lang w:val="es-MX"/>
        </w:rPr>
        <w:t>OCTAVO.</w:t>
      </w:r>
      <w:r w:rsidRPr="000901A4">
        <w:rPr>
          <w:rFonts w:ascii="Arial" w:eastAsia="Calibri" w:hAnsi="Arial" w:cs="Arial"/>
          <w:bCs/>
          <w:sz w:val="22"/>
          <w:szCs w:val="22"/>
          <w:lang w:val="es-MX"/>
        </w:rPr>
        <w:t xml:space="preserve"> Que de acuerdo a la fracción II del artículo 125 de la Ley Orgánica del Poder Judicial del Estado, es atribución del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 Asimismo, la fracción VIII del numeral 148 de la mencionada Ley dispone que corresponde a la Comisión de Carrera Judicial coordinar y supervisar el funcionamiento de la Escuela Judicial del Estado y del Centro de Capacitación y Actualización del Poder Judicial del Estado. </w:t>
      </w:r>
    </w:p>
    <w:p w14:paraId="140C84D2"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p>
    <w:p w14:paraId="3F502071"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r w:rsidRPr="000901A4">
        <w:rPr>
          <w:rFonts w:ascii="Arial" w:eastAsia="Calibri" w:hAnsi="Arial" w:cs="Arial"/>
          <w:b/>
          <w:sz w:val="22"/>
          <w:szCs w:val="22"/>
          <w:lang w:val="es-MX"/>
        </w:rPr>
        <w:t>NOVENO.</w:t>
      </w:r>
      <w:r w:rsidRPr="000901A4">
        <w:rPr>
          <w:rFonts w:ascii="Arial" w:eastAsia="Calibri" w:hAnsi="Arial" w:cs="Arial"/>
          <w:bCs/>
          <w:sz w:val="22"/>
          <w:szCs w:val="22"/>
          <w:lang w:val="es-MX"/>
        </w:rPr>
        <w:t xml:space="preserve"> Por su parte, el artículo 182 de la Ley Orgánica  del Poder Judicial del Estado, indica que la Escuela Judicial es el órgano encargado de la formación profesional de los servidores públicos del Poder Judicial, de la impartición de los estudios de posgrado, así como de la investigación científica del Derecho y difundir la cultura jurídica conforme a las leyes, su reglamento interno y los acuerdos que emita el Consejo de la Judicatura. </w:t>
      </w:r>
    </w:p>
    <w:p w14:paraId="7FF952B5" w14:textId="77777777" w:rsidR="000901A4" w:rsidRPr="000901A4" w:rsidRDefault="000901A4" w:rsidP="000901A4">
      <w:pPr>
        <w:widowControl w:val="0"/>
        <w:autoSpaceDE w:val="0"/>
        <w:autoSpaceDN w:val="0"/>
        <w:adjustRightInd w:val="0"/>
        <w:ind w:left="426" w:right="49"/>
        <w:jc w:val="both"/>
        <w:rPr>
          <w:rFonts w:ascii="Arial" w:eastAsia="Calibri" w:hAnsi="Arial" w:cs="Arial"/>
          <w:bCs/>
          <w:sz w:val="22"/>
          <w:szCs w:val="22"/>
          <w:lang w:val="es-MX"/>
        </w:rPr>
      </w:pPr>
    </w:p>
    <w:p w14:paraId="1AE6EAC8" w14:textId="77777777" w:rsidR="000901A4" w:rsidRPr="000901A4" w:rsidRDefault="000901A4" w:rsidP="000901A4">
      <w:pPr>
        <w:widowControl w:val="0"/>
        <w:autoSpaceDE w:val="0"/>
        <w:autoSpaceDN w:val="0"/>
        <w:adjustRightInd w:val="0"/>
        <w:ind w:left="426" w:right="49"/>
        <w:jc w:val="both"/>
        <w:rPr>
          <w:rFonts w:ascii="Arial" w:hAnsi="Arial" w:cs="Arial"/>
          <w:bCs/>
          <w:sz w:val="22"/>
          <w:szCs w:val="22"/>
        </w:rPr>
      </w:pPr>
      <w:bookmarkStart w:id="0" w:name="OLE_LINK434"/>
      <w:bookmarkStart w:id="1" w:name="OLE_LINK435"/>
      <w:r w:rsidRPr="000901A4">
        <w:rPr>
          <w:rFonts w:ascii="Arial" w:eastAsia="Calibri" w:hAnsi="Arial" w:cs="Arial"/>
          <w:b/>
          <w:sz w:val="22"/>
          <w:szCs w:val="22"/>
          <w:lang w:val="es-MX"/>
        </w:rPr>
        <w:t>DÉCIMO.</w:t>
      </w:r>
      <w:r w:rsidRPr="000901A4">
        <w:rPr>
          <w:rFonts w:ascii="Arial" w:eastAsia="Calibri" w:hAnsi="Arial" w:cs="Arial"/>
          <w:bCs/>
          <w:sz w:val="22"/>
          <w:szCs w:val="22"/>
          <w:lang w:val="es-MX"/>
        </w:rPr>
        <w:t xml:space="preserve"> </w:t>
      </w:r>
      <w:bookmarkEnd w:id="0"/>
      <w:bookmarkEnd w:id="1"/>
      <w:r w:rsidRPr="000901A4">
        <w:rPr>
          <w:rFonts w:ascii="Arial" w:eastAsia="Calibri" w:hAnsi="Arial" w:cs="Arial"/>
          <w:bCs/>
          <w:sz w:val="22"/>
          <w:szCs w:val="22"/>
          <w:lang w:val="es-MX"/>
        </w:rPr>
        <w:t xml:space="preserve">En este sentido, en </w:t>
      </w:r>
      <w:r w:rsidRPr="000901A4">
        <w:rPr>
          <w:rFonts w:ascii="Arial" w:hAnsi="Arial" w:cs="Arial"/>
          <w:bCs/>
          <w:sz w:val="22"/>
          <w:szCs w:val="22"/>
        </w:rPr>
        <w:t>atención al estado de emergencia, es importante brindar auxilio especializado a las y los alumnos de la Escuela Judicial del Estado,  para que en el caso de que estén viviendo situaciones de ansiedad, estrés y otros problemas que puedan afectar su salud mental y emocional durante la cuarentena por la pandemia del VIRUS SARS-CoV2 (COVID-19), misma que ha repercutido en la esfera personal y familiar.</w:t>
      </w:r>
    </w:p>
    <w:p w14:paraId="27C9CC68" w14:textId="77777777" w:rsidR="000901A4" w:rsidRPr="000901A4" w:rsidRDefault="000901A4" w:rsidP="000901A4">
      <w:pPr>
        <w:widowControl w:val="0"/>
        <w:autoSpaceDE w:val="0"/>
        <w:autoSpaceDN w:val="0"/>
        <w:adjustRightInd w:val="0"/>
        <w:ind w:left="426" w:right="49"/>
        <w:jc w:val="both"/>
        <w:rPr>
          <w:rFonts w:ascii="Arial" w:hAnsi="Arial" w:cs="Arial"/>
          <w:bCs/>
          <w:sz w:val="22"/>
          <w:szCs w:val="22"/>
        </w:rPr>
      </w:pPr>
      <w:r w:rsidRPr="000901A4">
        <w:rPr>
          <w:rFonts w:ascii="Arial" w:hAnsi="Arial" w:cs="Arial"/>
          <w:bCs/>
          <w:sz w:val="22"/>
          <w:szCs w:val="22"/>
        </w:rPr>
        <w:t xml:space="preserve">Por lo que con fundamento en los </w:t>
      </w:r>
      <w:r w:rsidRPr="000901A4">
        <w:rPr>
          <w:rFonts w:ascii="Arial" w:eastAsia="Calibri" w:hAnsi="Arial" w:cs="Arial"/>
          <w:sz w:val="22"/>
          <w:szCs w:val="22"/>
          <w:lang w:val="es-MX"/>
        </w:rPr>
        <w:t xml:space="preserve">referidos preceptos, así como en los artículos 78 bis de la Constitución Política del Estado; 8, 110, 125, fracción II, de la Ley Orgánica del Poder Judicial del Estado el Pleno </w:t>
      </w:r>
    </w:p>
    <w:p w14:paraId="03B36BC8" w14:textId="77777777" w:rsidR="000901A4" w:rsidRPr="000901A4" w:rsidRDefault="000901A4" w:rsidP="000901A4">
      <w:pPr>
        <w:widowControl w:val="0"/>
        <w:autoSpaceDE w:val="0"/>
        <w:autoSpaceDN w:val="0"/>
        <w:adjustRightInd w:val="0"/>
        <w:ind w:left="426" w:right="49"/>
        <w:jc w:val="both"/>
        <w:rPr>
          <w:rFonts w:ascii="Arial" w:hAnsi="Arial" w:cs="Arial"/>
          <w:bCs/>
          <w:sz w:val="22"/>
          <w:szCs w:val="22"/>
        </w:rPr>
      </w:pPr>
    </w:p>
    <w:p w14:paraId="153A7B66" w14:textId="77777777" w:rsidR="000901A4" w:rsidRPr="000901A4" w:rsidRDefault="000901A4" w:rsidP="000901A4">
      <w:pPr>
        <w:widowControl w:val="0"/>
        <w:autoSpaceDE w:val="0"/>
        <w:autoSpaceDN w:val="0"/>
        <w:adjustRightInd w:val="0"/>
        <w:ind w:left="426" w:right="49"/>
        <w:jc w:val="both"/>
        <w:rPr>
          <w:rFonts w:ascii="Arial" w:eastAsia="Calibri" w:hAnsi="Arial" w:cs="Arial"/>
          <w:sz w:val="22"/>
          <w:szCs w:val="22"/>
          <w:lang w:val="es-MX"/>
        </w:rPr>
      </w:pPr>
      <w:r w:rsidRPr="000901A4">
        <w:rPr>
          <w:rFonts w:ascii="Arial" w:eastAsia="Calibri" w:hAnsi="Arial" w:cs="Arial"/>
          <w:sz w:val="22"/>
          <w:szCs w:val="22"/>
          <w:lang w:val="es-MX"/>
        </w:rPr>
        <w:t>Por lo que con fundamento en los referidos preceptos, así como en los artículos 78 bis de la Constitución Política del Estado; 8, 110, 125, fracción II, de la Ley Orgánica del Poder Judicial del Estado, el Plenos del Consejo de la Judicatura Local, emite el siguiente:</w:t>
      </w:r>
    </w:p>
    <w:p w14:paraId="7F9CC42E" w14:textId="77777777" w:rsidR="000901A4" w:rsidRPr="000901A4" w:rsidRDefault="000901A4" w:rsidP="000901A4">
      <w:pPr>
        <w:widowControl w:val="0"/>
        <w:autoSpaceDE w:val="0"/>
        <w:autoSpaceDN w:val="0"/>
        <w:adjustRightInd w:val="0"/>
        <w:ind w:left="426" w:right="49"/>
        <w:jc w:val="both"/>
        <w:rPr>
          <w:rFonts w:ascii="Arial" w:hAnsi="Arial" w:cs="Arial"/>
          <w:b/>
          <w:sz w:val="22"/>
          <w:szCs w:val="22"/>
          <w:lang w:val="es-MX"/>
        </w:rPr>
      </w:pPr>
    </w:p>
    <w:p w14:paraId="3C1F0788" w14:textId="77777777" w:rsidR="000901A4" w:rsidRPr="000901A4" w:rsidRDefault="000901A4" w:rsidP="000901A4">
      <w:pPr>
        <w:autoSpaceDE w:val="0"/>
        <w:autoSpaceDN w:val="0"/>
        <w:adjustRightInd w:val="0"/>
        <w:ind w:left="426" w:right="49"/>
        <w:jc w:val="both"/>
        <w:rPr>
          <w:rFonts w:ascii="Arial" w:hAnsi="Arial" w:cs="Arial"/>
          <w:b/>
          <w:bCs/>
          <w:sz w:val="22"/>
          <w:szCs w:val="22"/>
        </w:rPr>
      </w:pPr>
      <w:bookmarkStart w:id="2" w:name="OLE_LINK436"/>
      <w:bookmarkStart w:id="3" w:name="OLE_LINK437"/>
      <w:bookmarkStart w:id="4" w:name="OLE_LINK442"/>
      <w:r w:rsidRPr="000901A4">
        <w:rPr>
          <w:rFonts w:ascii="Arial" w:hAnsi="Arial" w:cs="Arial"/>
          <w:b/>
          <w:bCs/>
          <w:sz w:val="22"/>
          <w:szCs w:val="22"/>
        </w:rPr>
        <w:t>ACUERDO GENERAL NÚMERO 39/CJCAM/20-2021, DEL PLENO DEL CONSEJO DE LA JUDICATURA LOCAL, RELATIVO A LA HABILITACIÓN DE LA LÍNEA TELEFÓNICA DE APOYO Y CONTENCIÓN PSICOEMOCIONAL PARA LAS Y LOS ALUMNOS DE LA ESCUELA JUDICIAL DEL ESTADO, COMO PARTE DE LAS MEDIDAS DE CONTINGENCIA POR EL FENÓMENO DE SALUD PÚBLICA DERIVADO DEL VIRUS SARS-CoV2 (COVID-19).</w:t>
      </w:r>
    </w:p>
    <w:bookmarkEnd w:id="2"/>
    <w:bookmarkEnd w:id="3"/>
    <w:bookmarkEnd w:id="4"/>
    <w:p w14:paraId="0D70B8C3" w14:textId="77777777" w:rsidR="000901A4" w:rsidRPr="000901A4" w:rsidRDefault="000901A4" w:rsidP="000901A4">
      <w:pPr>
        <w:autoSpaceDE w:val="0"/>
        <w:autoSpaceDN w:val="0"/>
        <w:adjustRightInd w:val="0"/>
        <w:ind w:left="426" w:right="49"/>
        <w:jc w:val="both"/>
        <w:rPr>
          <w:rFonts w:ascii="Arial" w:eastAsia="Times New Roman" w:hAnsi="Arial" w:cs="Arial"/>
          <w:b/>
          <w:sz w:val="22"/>
          <w:szCs w:val="22"/>
        </w:rPr>
      </w:pPr>
    </w:p>
    <w:p w14:paraId="386CC7D7" w14:textId="77777777" w:rsidR="000901A4" w:rsidRPr="000901A4" w:rsidRDefault="000901A4" w:rsidP="000901A4">
      <w:pPr>
        <w:ind w:left="426" w:right="49"/>
        <w:jc w:val="both"/>
        <w:rPr>
          <w:rFonts w:ascii="Arial" w:eastAsia="Times New Roman" w:hAnsi="Arial" w:cs="Arial"/>
          <w:sz w:val="22"/>
          <w:szCs w:val="22"/>
          <w:lang w:val="es-MX"/>
        </w:rPr>
      </w:pPr>
      <w:r w:rsidRPr="000901A4">
        <w:rPr>
          <w:rFonts w:ascii="Arial" w:eastAsia="Times New Roman" w:hAnsi="Arial" w:cs="Arial"/>
          <w:b/>
          <w:bCs/>
          <w:sz w:val="22"/>
          <w:szCs w:val="22"/>
        </w:rPr>
        <w:t>PRIMERO.</w:t>
      </w:r>
      <w:r w:rsidRPr="000901A4">
        <w:rPr>
          <w:rFonts w:ascii="Arial" w:eastAsia="Times New Roman" w:hAnsi="Arial" w:cs="Arial"/>
          <w:sz w:val="22"/>
          <w:szCs w:val="22"/>
        </w:rPr>
        <w:t xml:space="preserve"> </w:t>
      </w:r>
      <w:r w:rsidRPr="000901A4">
        <w:rPr>
          <w:rFonts w:ascii="Arial" w:hAnsi="Arial" w:cs="Arial"/>
          <w:sz w:val="22"/>
          <w:szCs w:val="22"/>
          <w:lang w:eastAsia="es-MX"/>
        </w:rPr>
        <w:t xml:space="preserve">Se </w:t>
      </w:r>
      <w:r w:rsidRPr="000901A4">
        <w:rPr>
          <w:rFonts w:ascii="Arial" w:eastAsia="Times New Roman" w:hAnsi="Arial" w:cs="Arial"/>
          <w:sz w:val="22"/>
          <w:szCs w:val="22"/>
          <w:lang w:val="es-MX"/>
        </w:rPr>
        <w:t xml:space="preserve">autoriza la implementación temporal de la Línea Telefónica de Apoyo y Contención </w:t>
      </w:r>
      <w:proofErr w:type="spellStart"/>
      <w:r w:rsidRPr="000901A4">
        <w:rPr>
          <w:rFonts w:ascii="Arial" w:eastAsia="Times New Roman" w:hAnsi="Arial" w:cs="Arial"/>
          <w:sz w:val="22"/>
          <w:szCs w:val="22"/>
          <w:lang w:val="es-MX"/>
        </w:rPr>
        <w:t>Psicoemocional</w:t>
      </w:r>
      <w:proofErr w:type="spellEnd"/>
      <w:r w:rsidRPr="000901A4">
        <w:rPr>
          <w:rFonts w:ascii="Arial" w:eastAsia="Times New Roman" w:hAnsi="Arial" w:cs="Arial"/>
          <w:sz w:val="22"/>
          <w:szCs w:val="22"/>
          <w:lang w:val="es-MX"/>
        </w:rPr>
        <w:t xml:space="preserve"> para las y los alumnos de la Escuela Judicial del Estado, con el fin de brindar atención especializada vía telefónica, por las psicólogas adscritas al Poder Judicial del Estado, derivado de los problemas </w:t>
      </w:r>
      <w:proofErr w:type="spellStart"/>
      <w:r w:rsidRPr="000901A4">
        <w:rPr>
          <w:rFonts w:ascii="Arial" w:eastAsia="Times New Roman" w:hAnsi="Arial" w:cs="Arial"/>
          <w:sz w:val="22"/>
          <w:szCs w:val="22"/>
          <w:lang w:val="es-MX"/>
        </w:rPr>
        <w:t>psicoemocionales</w:t>
      </w:r>
      <w:proofErr w:type="spellEnd"/>
      <w:r w:rsidRPr="000901A4">
        <w:rPr>
          <w:rFonts w:ascii="Arial" w:eastAsia="Times New Roman" w:hAnsi="Arial" w:cs="Arial"/>
          <w:sz w:val="22"/>
          <w:szCs w:val="22"/>
          <w:lang w:val="es-MX"/>
        </w:rPr>
        <w:t xml:space="preserve"> producidos por la contingencia sanitaria deriva del virus COVID-19, misma que repercute en el entorno social, familiar y personal. </w:t>
      </w:r>
    </w:p>
    <w:p w14:paraId="403B4305" w14:textId="77777777" w:rsidR="000901A4" w:rsidRPr="000901A4" w:rsidRDefault="000901A4" w:rsidP="000901A4">
      <w:pPr>
        <w:ind w:left="426" w:right="49"/>
        <w:jc w:val="both"/>
        <w:rPr>
          <w:rFonts w:ascii="Arial" w:eastAsia="Times New Roman" w:hAnsi="Arial" w:cs="Arial"/>
          <w:b/>
          <w:bCs/>
          <w:sz w:val="22"/>
          <w:szCs w:val="22"/>
          <w:lang w:val="es-MX"/>
        </w:rPr>
      </w:pPr>
    </w:p>
    <w:p w14:paraId="3C86EE55" w14:textId="77777777" w:rsidR="000901A4" w:rsidRPr="000901A4" w:rsidRDefault="000901A4" w:rsidP="000901A4">
      <w:pPr>
        <w:ind w:left="426" w:right="49"/>
        <w:jc w:val="both"/>
        <w:rPr>
          <w:rFonts w:ascii="Arial" w:eastAsia="Times New Roman" w:hAnsi="Arial" w:cs="Arial"/>
          <w:sz w:val="22"/>
          <w:szCs w:val="22"/>
          <w:lang w:val="es-MX"/>
        </w:rPr>
      </w:pPr>
      <w:r w:rsidRPr="000901A4">
        <w:rPr>
          <w:rFonts w:ascii="Arial" w:eastAsia="Times New Roman" w:hAnsi="Arial" w:cs="Arial"/>
          <w:b/>
          <w:bCs/>
          <w:sz w:val="22"/>
          <w:szCs w:val="22"/>
        </w:rPr>
        <w:t>SEGUNDO.</w:t>
      </w:r>
      <w:r w:rsidRPr="000901A4">
        <w:rPr>
          <w:rFonts w:ascii="Arial" w:eastAsia="Times New Roman" w:hAnsi="Arial" w:cs="Arial"/>
          <w:sz w:val="22"/>
          <w:szCs w:val="22"/>
        </w:rPr>
        <w:t xml:space="preserve"> </w:t>
      </w:r>
      <w:r w:rsidRPr="000901A4">
        <w:rPr>
          <w:rFonts w:ascii="Arial" w:eastAsia="Times New Roman" w:hAnsi="Arial" w:cs="Arial"/>
          <w:sz w:val="22"/>
          <w:szCs w:val="22"/>
          <w:lang w:val="es-MX"/>
        </w:rPr>
        <w:t xml:space="preserve">El servicio de atención se otorgará a través de una sesión telefónica, con el fin de brindar un apoyo especializado en sentido humano desde el punto de vista psicológico, para que los usuarios puedan enfrentar los retos que presenta la emergencia sanitaria, mediante la escucha, contacto con la realidad, reinterpretación de su situación, detección de riesgos, ofrecimiento de alternativas, u otras estrategias que el personal operativo considere pertinentes de acuerdo a las necesidades de los usuarios. </w:t>
      </w:r>
    </w:p>
    <w:p w14:paraId="1F7212B7" w14:textId="77777777" w:rsidR="000901A4" w:rsidRPr="000901A4" w:rsidRDefault="000901A4" w:rsidP="000901A4">
      <w:pPr>
        <w:ind w:left="426" w:right="49"/>
        <w:jc w:val="both"/>
        <w:rPr>
          <w:rFonts w:ascii="Arial" w:eastAsia="Times New Roman" w:hAnsi="Arial" w:cs="Arial"/>
          <w:sz w:val="22"/>
          <w:szCs w:val="22"/>
          <w:lang w:val="es-MX"/>
        </w:rPr>
      </w:pPr>
    </w:p>
    <w:p w14:paraId="7644B62B" w14:textId="77777777" w:rsidR="000901A4" w:rsidRPr="000901A4" w:rsidRDefault="000901A4" w:rsidP="000901A4">
      <w:pPr>
        <w:ind w:left="426" w:right="49"/>
        <w:jc w:val="both"/>
        <w:rPr>
          <w:rFonts w:ascii="Arial" w:eastAsia="Times New Roman" w:hAnsi="Arial" w:cs="Arial"/>
          <w:sz w:val="22"/>
          <w:szCs w:val="22"/>
          <w:lang w:val="es-MX"/>
        </w:rPr>
      </w:pPr>
      <w:r w:rsidRPr="000901A4">
        <w:rPr>
          <w:rFonts w:ascii="Arial" w:eastAsia="Times New Roman" w:hAnsi="Arial" w:cs="Arial"/>
          <w:sz w:val="22"/>
          <w:szCs w:val="22"/>
          <w:lang w:val="es-MX"/>
        </w:rPr>
        <w:t xml:space="preserve">El personal operativo podrá, en la medida posible, canalizar a los usuarios con alguna dependencia gubernamental, en cuyo supuesto lo requiera. </w:t>
      </w:r>
    </w:p>
    <w:p w14:paraId="450D7898" w14:textId="77777777" w:rsidR="000901A4" w:rsidRPr="000901A4" w:rsidRDefault="000901A4" w:rsidP="000901A4">
      <w:pPr>
        <w:tabs>
          <w:tab w:val="left" w:pos="5250"/>
        </w:tabs>
        <w:ind w:left="426" w:right="49"/>
        <w:jc w:val="both"/>
        <w:rPr>
          <w:rFonts w:ascii="Arial" w:eastAsia="Times New Roman" w:hAnsi="Arial" w:cs="Arial"/>
          <w:b/>
          <w:bCs/>
          <w:sz w:val="22"/>
          <w:szCs w:val="22"/>
          <w:lang w:val="es-MX"/>
        </w:rPr>
      </w:pPr>
    </w:p>
    <w:p w14:paraId="30D84B7E" w14:textId="77777777" w:rsidR="000901A4" w:rsidRPr="000901A4" w:rsidRDefault="000901A4" w:rsidP="000901A4">
      <w:pPr>
        <w:ind w:left="426" w:right="49"/>
        <w:jc w:val="both"/>
        <w:rPr>
          <w:rFonts w:ascii="Arial" w:eastAsia="Times New Roman" w:hAnsi="Arial" w:cs="Arial"/>
          <w:sz w:val="22"/>
          <w:szCs w:val="22"/>
          <w:lang w:val="es-MX"/>
        </w:rPr>
      </w:pPr>
      <w:r w:rsidRPr="000901A4">
        <w:rPr>
          <w:rFonts w:ascii="Arial" w:eastAsia="Times New Roman" w:hAnsi="Arial" w:cs="Arial"/>
          <w:b/>
          <w:bCs/>
          <w:sz w:val="22"/>
          <w:szCs w:val="22"/>
          <w:lang w:val="es-MX"/>
        </w:rPr>
        <w:t xml:space="preserve">TERCERO. </w:t>
      </w:r>
      <w:r w:rsidRPr="000901A4">
        <w:rPr>
          <w:rFonts w:ascii="Arial" w:eastAsia="Times New Roman" w:hAnsi="Arial" w:cs="Arial"/>
          <w:sz w:val="22"/>
          <w:szCs w:val="22"/>
        </w:rPr>
        <w:t>El Pleno del Consejo de la Judicatura del Poder Judicial del Estado</w:t>
      </w:r>
      <w:r w:rsidRPr="000901A4">
        <w:rPr>
          <w:rFonts w:ascii="Arial" w:eastAsia="Times New Roman" w:hAnsi="Arial" w:cs="Arial"/>
          <w:sz w:val="22"/>
          <w:szCs w:val="22"/>
          <w:lang w:val="es-MX"/>
        </w:rPr>
        <w:t xml:space="preserve">, a través de la Secretaría Ejecutiva, coordinará al personal del Área de Psicología, para brindar el servicio, mediante la asignación de teléfonos móviles, que serán destinados únicamente para este fin. </w:t>
      </w:r>
    </w:p>
    <w:p w14:paraId="74D4E64E" w14:textId="77777777" w:rsidR="000901A4" w:rsidRPr="000901A4" w:rsidRDefault="000901A4" w:rsidP="000901A4">
      <w:pPr>
        <w:ind w:left="426" w:right="49"/>
        <w:jc w:val="both"/>
        <w:rPr>
          <w:rFonts w:ascii="Arial" w:eastAsia="Times New Roman" w:hAnsi="Arial" w:cs="Arial"/>
          <w:sz w:val="22"/>
          <w:szCs w:val="22"/>
          <w:lang w:val="es-MX"/>
        </w:rPr>
      </w:pPr>
    </w:p>
    <w:p w14:paraId="26942DC2" w14:textId="77777777" w:rsidR="000901A4" w:rsidRPr="000901A4" w:rsidRDefault="000901A4" w:rsidP="000901A4">
      <w:pPr>
        <w:ind w:left="426" w:right="49"/>
        <w:jc w:val="both"/>
        <w:rPr>
          <w:rFonts w:ascii="Arial" w:eastAsia="Times New Roman" w:hAnsi="Arial" w:cs="Arial"/>
          <w:sz w:val="22"/>
          <w:szCs w:val="22"/>
          <w:lang w:val="es-MX"/>
        </w:rPr>
      </w:pPr>
      <w:r w:rsidRPr="000901A4">
        <w:rPr>
          <w:rFonts w:ascii="Arial" w:eastAsia="Times New Roman" w:hAnsi="Arial" w:cs="Arial"/>
          <w:b/>
          <w:bCs/>
          <w:sz w:val="22"/>
          <w:szCs w:val="22"/>
          <w:lang w:val="es-MX"/>
        </w:rPr>
        <w:t xml:space="preserve">CUARTO. </w:t>
      </w:r>
      <w:r w:rsidRPr="000901A4">
        <w:rPr>
          <w:rFonts w:ascii="Arial" w:eastAsia="Times New Roman" w:hAnsi="Arial" w:cs="Arial"/>
          <w:sz w:val="22"/>
          <w:szCs w:val="22"/>
          <w:lang w:val="es-MX"/>
        </w:rPr>
        <w:t xml:space="preserve">El horario de atención será de lunes a viernes de 9:00 a 14:00 horas. </w:t>
      </w:r>
    </w:p>
    <w:p w14:paraId="1DAC22DA" w14:textId="77777777" w:rsidR="000901A4" w:rsidRPr="000901A4" w:rsidRDefault="000901A4" w:rsidP="000901A4">
      <w:pPr>
        <w:ind w:left="426" w:right="49"/>
        <w:jc w:val="both"/>
        <w:rPr>
          <w:rFonts w:ascii="Arial" w:eastAsia="Times New Roman" w:hAnsi="Arial" w:cs="Arial"/>
          <w:sz w:val="22"/>
          <w:szCs w:val="22"/>
        </w:rPr>
      </w:pPr>
    </w:p>
    <w:p w14:paraId="6FC1C196" w14:textId="77777777" w:rsidR="000901A4" w:rsidRPr="000901A4" w:rsidRDefault="000901A4" w:rsidP="000901A4">
      <w:pPr>
        <w:ind w:left="426" w:right="49"/>
        <w:jc w:val="both"/>
        <w:rPr>
          <w:rFonts w:ascii="Arial" w:eastAsia="Times New Roman" w:hAnsi="Arial" w:cs="Arial"/>
          <w:sz w:val="22"/>
          <w:szCs w:val="22"/>
        </w:rPr>
      </w:pPr>
      <w:r w:rsidRPr="000901A4">
        <w:rPr>
          <w:rFonts w:ascii="Arial" w:eastAsia="Times New Roman" w:hAnsi="Arial" w:cs="Arial"/>
          <w:b/>
          <w:bCs/>
          <w:sz w:val="22"/>
          <w:szCs w:val="22"/>
        </w:rPr>
        <w:t xml:space="preserve">QUINTO. </w:t>
      </w:r>
      <w:r w:rsidRPr="000901A4">
        <w:rPr>
          <w:rFonts w:ascii="Arial" w:eastAsia="Times New Roman" w:hAnsi="Arial" w:cs="Arial"/>
          <w:sz w:val="22"/>
          <w:szCs w:val="22"/>
        </w:rPr>
        <w:t>Los datos personales proporcionados por los usuarios durante el servicio tendrán carácter de información reservada, por lo que no se integrará expediente alguno, ni podrán grabarse las sesiones telefónicas, como tampoco podrán utilizarse para fines judiciales, ni administrativos.</w:t>
      </w:r>
    </w:p>
    <w:p w14:paraId="772C80C3" w14:textId="77777777" w:rsidR="000901A4" w:rsidRPr="000901A4" w:rsidRDefault="000901A4" w:rsidP="000901A4">
      <w:pPr>
        <w:ind w:left="426" w:right="49"/>
        <w:jc w:val="both"/>
        <w:rPr>
          <w:rFonts w:ascii="Arial" w:eastAsia="Times New Roman" w:hAnsi="Arial" w:cs="Arial"/>
          <w:sz w:val="22"/>
          <w:szCs w:val="22"/>
        </w:rPr>
      </w:pPr>
    </w:p>
    <w:p w14:paraId="0154C0FD" w14:textId="77777777" w:rsidR="000901A4" w:rsidRPr="000901A4" w:rsidRDefault="000901A4" w:rsidP="000901A4">
      <w:pPr>
        <w:ind w:left="426" w:right="49"/>
        <w:jc w:val="both"/>
        <w:rPr>
          <w:rFonts w:ascii="Arial" w:eastAsia="Times New Roman" w:hAnsi="Arial" w:cs="Arial"/>
          <w:sz w:val="22"/>
          <w:szCs w:val="22"/>
        </w:rPr>
      </w:pPr>
      <w:r w:rsidRPr="000901A4">
        <w:rPr>
          <w:rFonts w:ascii="Arial" w:eastAsia="Times New Roman" w:hAnsi="Arial" w:cs="Arial"/>
          <w:sz w:val="22"/>
          <w:szCs w:val="22"/>
        </w:rPr>
        <w:t xml:space="preserve">Lo anterior se hará del conocimiento de los interesados previamente al uso de los servicios de la Línea Telefónica. </w:t>
      </w:r>
    </w:p>
    <w:p w14:paraId="2B7C5F09" w14:textId="77777777" w:rsidR="000901A4" w:rsidRPr="000901A4" w:rsidRDefault="000901A4" w:rsidP="000901A4">
      <w:pPr>
        <w:ind w:left="426" w:right="49"/>
        <w:jc w:val="both"/>
        <w:rPr>
          <w:rFonts w:ascii="Arial" w:eastAsia="Times New Roman" w:hAnsi="Arial" w:cs="Arial"/>
          <w:b/>
          <w:bCs/>
          <w:sz w:val="22"/>
          <w:szCs w:val="22"/>
        </w:rPr>
      </w:pPr>
    </w:p>
    <w:p w14:paraId="5D56ADCB" w14:textId="77777777" w:rsidR="000901A4" w:rsidRPr="000901A4" w:rsidRDefault="000901A4" w:rsidP="000901A4">
      <w:pPr>
        <w:ind w:left="426" w:right="49"/>
        <w:jc w:val="both"/>
        <w:rPr>
          <w:rFonts w:ascii="Arial" w:eastAsia="Times New Roman" w:hAnsi="Arial" w:cs="Arial"/>
          <w:sz w:val="22"/>
          <w:szCs w:val="22"/>
        </w:rPr>
      </w:pPr>
      <w:r w:rsidRPr="000901A4">
        <w:rPr>
          <w:rFonts w:ascii="Arial" w:eastAsia="Times New Roman" w:hAnsi="Arial" w:cs="Arial"/>
          <w:b/>
          <w:bCs/>
          <w:sz w:val="22"/>
          <w:szCs w:val="22"/>
        </w:rPr>
        <w:t xml:space="preserve">SEXTO. </w:t>
      </w:r>
      <w:r w:rsidRPr="000901A4">
        <w:rPr>
          <w:rFonts w:ascii="Arial" w:eastAsia="Times New Roman" w:hAnsi="Arial" w:cs="Arial"/>
          <w:sz w:val="22"/>
          <w:szCs w:val="22"/>
        </w:rPr>
        <w:t xml:space="preserve">El Pleno del Consejo de la Judicatura del Poder Judicial del Estado, la Comisión de Carrera Judicial y la Dirección de la Escuela Judicial del Estado, serán las únicas instancias facultadas para interpretar el presente Acuerdo General y establecer las determinaciones correspondientes para los casos no previstos. </w:t>
      </w:r>
    </w:p>
    <w:p w14:paraId="61561BB3" w14:textId="77777777" w:rsidR="000901A4" w:rsidRPr="000901A4" w:rsidRDefault="000901A4" w:rsidP="000901A4">
      <w:pPr>
        <w:ind w:left="426" w:right="49"/>
        <w:jc w:val="both"/>
        <w:rPr>
          <w:rFonts w:ascii="Arial" w:eastAsia="Times New Roman" w:hAnsi="Arial" w:cs="Arial"/>
          <w:b/>
          <w:bCs/>
          <w:sz w:val="22"/>
          <w:szCs w:val="22"/>
        </w:rPr>
      </w:pPr>
    </w:p>
    <w:p w14:paraId="3F71872E" w14:textId="77777777" w:rsidR="000901A4" w:rsidRPr="000901A4" w:rsidRDefault="000901A4" w:rsidP="000901A4">
      <w:pPr>
        <w:autoSpaceDE w:val="0"/>
        <w:autoSpaceDN w:val="0"/>
        <w:adjustRightInd w:val="0"/>
        <w:ind w:left="426" w:right="49"/>
        <w:jc w:val="center"/>
        <w:rPr>
          <w:rFonts w:ascii="Arial" w:hAnsi="Arial" w:cs="Arial"/>
          <w:b/>
          <w:bCs/>
          <w:sz w:val="22"/>
          <w:szCs w:val="22"/>
        </w:rPr>
      </w:pPr>
      <w:r w:rsidRPr="000901A4">
        <w:rPr>
          <w:rFonts w:ascii="Arial" w:hAnsi="Arial" w:cs="Arial"/>
          <w:b/>
          <w:bCs/>
          <w:sz w:val="22"/>
          <w:szCs w:val="22"/>
        </w:rPr>
        <w:t>TRANSITORIOS</w:t>
      </w:r>
    </w:p>
    <w:p w14:paraId="015BD1CC" w14:textId="77777777" w:rsidR="000901A4" w:rsidRPr="000901A4" w:rsidRDefault="000901A4" w:rsidP="000901A4">
      <w:pPr>
        <w:autoSpaceDE w:val="0"/>
        <w:autoSpaceDN w:val="0"/>
        <w:adjustRightInd w:val="0"/>
        <w:ind w:left="426" w:right="49"/>
        <w:jc w:val="both"/>
        <w:rPr>
          <w:rFonts w:ascii="Arial" w:hAnsi="Arial" w:cs="Arial"/>
          <w:b/>
          <w:bCs/>
          <w:sz w:val="22"/>
          <w:szCs w:val="22"/>
        </w:rPr>
      </w:pPr>
    </w:p>
    <w:p w14:paraId="3A8C29AB" w14:textId="77777777" w:rsidR="000901A4" w:rsidRPr="000901A4" w:rsidRDefault="000901A4" w:rsidP="000901A4">
      <w:pPr>
        <w:autoSpaceDE w:val="0"/>
        <w:autoSpaceDN w:val="0"/>
        <w:adjustRightInd w:val="0"/>
        <w:ind w:left="426" w:right="49"/>
        <w:jc w:val="both"/>
        <w:rPr>
          <w:rFonts w:ascii="Arial" w:hAnsi="Arial" w:cs="Arial"/>
          <w:sz w:val="22"/>
          <w:szCs w:val="22"/>
          <w:lang w:val="es-MX"/>
        </w:rPr>
      </w:pPr>
      <w:r w:rsidRPr="000901A4">
        <w:rPr>
          <w:rFonts w:ascii="Arial" w:hAnsi="Arial" w:cs="Arial"/>
          <w:b/>
          <w:bCs/>
          <w:sz w:val="22"/>
          <w:szCs w:val="22"/>
          <w:lang w:val="es-MX"/>
        </w:rPr>
        <w:t xml:space="preserve">PRIMERO. </w:t>
      </w:r>
      <w:r w:rsidRPr="000901A4">
        <w:rPr>
          <w:rFonts w:ascii="Arial" w:hAnsi="Arial" w:cs="Arial"/>
          <w:sz w:val="22"/>
          <w:szCs w:val="22"/>
          <w:lang w:val="es-MX"/>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2E27658E" w14:textId="77777777" w:rsidR="000901A4" w:rsidRPr="000901A4" w:rsidRDefault="000901A4" w:rsidP="000901A4">
      <w:pPr>
        <w:autoSpaceDE w:val="0"/>
        <w:autoSpaceDN w:val="0"/>
        <w:adjustRightInd w:val="0"/>
        <w:ind w:left="426" w:right="49"/>
        <w:jc w:val="both"/>
        <w:rPr>
          <w:rFonts w:ascii="Arial" w:hAnsi="Arial" w:cs="Arial"/>
          <w:sz w:val="22"/>
          <w:szCs w:val="22"/>
          <w:lang w:val="es-MX"/>
        </w:rPr>
      </w:pPr>
    </w:p>
    <w:p w14:paraId="386FD520" w14:textId="77777777" w:rsidR="000901A4" w:rsidRPr="000901A4" w:rsidRDefault="000901A4" w:rsidP="000901A4">
      <w:pPr>
        <w:autoSpaceDE w:val="0"/>
        <w:autoSpaceDN w:val="0"/>
        <w:adjustRightInd w:val="0"/>
        <w:ind w:left="426" w:right="49"/>
        <w:jc w:val="both"/>
        <w:rPr>
          <w:rFonts w:ascii="Arial" w:hAnsi="Arial" w:cs="Arial"/>
          <w:sz w:val="22"/>
          <w:szCs w:val="22"/>
          <w:lang w:val="es-MX"/>
        </w:rPr>
      </w:pPr>
      <w:r w:rsidRPr="000901A4">
        <w:rPr>
          <w:rFonts w:ascii="Arial" w:hAnsi="Arial" w:cs="Arial"/>
          <w:b/>
          <w:bCs/>
          <w:sz w:val="22"/>
          <w:szCs w:val="22"/>
          <w:lang w:val="es-MX"/>
        </w:rPr>
        <w:t xml:space="preserve">SEGUNDO. </w:t>
      </w:r>
      <w:r w:rsidRPr="000901A4">
        <w:rPr>
          <w:rFonts w:ascii="Arial" w:hAnsi="Arial" w:cs="Arial"/>
          <w:sz w:val="22"/>
          <w:szCs w:val="22"/>
          <w:lang w:val="es-MX"/>
        </w:rPr>
        <w:t>El presente Acuerdo General entra en vigor el día de su publicación en el Periódico Oficial del Estado, de conformidad con el artículo 4 del Código Civil vigente en la entidad.</w:t>
      </w:r>
    </w:p>
    <w:p w14:paraId="354FEC9D" w14:textId="77777777" w:rsidR="000901A4" w:rsidRPr="000901A4" w:rsidRDefault="000901A4" w:rsidP="000901A4">
      <w:pPr>
        <w:autoSpaceDE w:val="0"/>
        <w:autoSpaceDN w:val="0"/>
        <w:adjustRightInd w:val="0"/>
        <w:ind w:left="426" w:right="49"/>
        <w:jc w:val="both"/>
        <w:rPr>
          <w:rFonts w:ascii="Arial" w:hAnsi="Arial" w:cs="Arial"/>
          <w:sz w:val="22"/>
          <w:szCs w:val="22"/>
          <w:lang w:val="es-MX"/>
        </w:rPr>
      </w:pPr>
    </w:p>
    <w:p w14:paraId="79A046D4" w14:textId="56352185" w:rsidR="00C72BC6" w:rsidRPr="000901A4" w:rsidRDefault="000901A4" w:rsidP="000901A4">
      <w:pPr>
        <w:ind w:left="426" w:right="49"/>
        <w:jc w:val="both"/>
        <w:rPr>
          <w:rFonts w:ascii="Arial" w:hAnsi="Arial" w:cs="Arial"/>
          <w:bCs/>
          <w:sz w:val="22"/>
          <w:szCs w:val="22"/>
          <w:lang w:val="es-MX"/>
        </w:rPr>
      </w:pPr>
      <w:r w:rsidRPr="000901A4">
        <w:rPr>
          <w:rFonts w:ascii="Arial" w:hAnsi="Arial" w:cs="Arial"/>
          <w:b/>
          <w:bCs/>
          <w:sz w:val="22"/>
          <w:szCs w:val="22"/>
          <w:lang w:val="es-MX"/>
        </w:rPr>
        <w:t xml:space="preserve">TERCERO. </w:t>
      </w:r>
      <w:r w:rsidRPr="000901A4">
        <w:rPr>
          <w:rFonts w:ascii="Arial" w:hAnsi="Arial" w:cs="Arial"/>
          <w:sz w:val="22"/>
          <w:szCs w:val="22"/>
          <w:lang w:val="es-MX"/>
        </w:rPr>
        <w:t>Comuníquese el presente Acuerdo General al Honorable Tribunal Superior de Justicia del Estado. Cúmplase</w:t>
      </w:r>
      <w:r w:rsidR="006A710F" w:rsidRPr="000901A4">
        <w:rPr>
          <w:rFonts w:ascii="Arial" w:hAnsi="Arial" w:cs="Arial"/>
          <w:bCs/>
          <w:sz w:val="22"/>
          <w:szCs w:val="22"/>
        </w:rPr>
        <w:t>…”.</w:t>
      </w:r>
      <w:r w:rsidR="00620AB2" w:rsidRPr="000901A4">
        <w:rPr>
          <w:rFonts w:ascii="Arial" w:hAnsi="Arial" w:cs="Arial"/>
          <w:color w:val="000000" w:themeColor="text1"/>
          <w:sz w:val="22"/>
          <w:szCs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6C4C9339"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0260A5">
        <w:rPr>
          <w:rFonts w:ascii="Arial" w:hAnsi="Arial" w:cs="Arial"/>
          <w:bCs/>
        </w:rPr>
        <w:t>31</w:t>
      </w:r>
      <w:r w:rsidRPr="000A3A71">
        <w:rPr>
          <w:rFonts w:ascii="Arial" w:hAnsi="Arial" w:cs="Arial"/>
          <w:bCs/>
        </w:rPr>
        <w:t xml:space="preserve"> de </w:t>
      </w:r>
      <w:r w:rsidR="000260A5">
        <w:rPr>
          <w:rFonts w:ascii="Arial" w:hAnsi="Arial" w:cs="Arial"/>
          <w:bCs/>
        </w:rPr>
        <w:t>agosto</w:t>
      </w:r>
      <w:bookmarkStart w:id="5" w:name="_GoBack"/>
      <w:bookmarkEnd w:id="5"/>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778338BA" w14:textId="77777777" w:rsidR="00983A79" w:rsidRPr="000A3A71" w:rsidRDefault="00983A79"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75A7644A" w14:textId="77777777" w:rsidR="00983A79" w:rsidRDefault="00983A79"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F72698">
      <w:headerReference w:type="default" r:id="rId8"/>
      <w:footerReference w:type="default" r:id="rId9"/>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68E"/>
    <w:multiLevelType w:val="hybridMultilevel"/>
    <w:tmpl w:val="DC08B3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C551C3C"/>
    <w:multiLevelType w:val="multilevel"/>
    <w:tmpl w:val="80A4ABF2"/>
    <w:lvl w:ilvl="0">
      <w:start w:val="1"/>
      <w:numFmt w:val="lowerLetter"/>
      <w:lvlText w:val="%1."/>
      <w:lvlJc w:val="left"/>
      <w:pPr>
        <w:tabs>
          <w:tab w:val="num" w:pos="786"/>
        </w:tabs>
        <w:ind w:left="786"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1F959CF"/>
    <w:multiLevelType w:val="hybridMultilevel"/>
    <w:tmpl w:val="51A248B4"/>
    <w:lvl w:ilvl="0" w:tplc="9E5A5DA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61218A"/>
    <w:multiLevelType w:val="hybridMultilevel"/>
    <w:tmpl w:val="4C96A0D0"/>
    <w:lvl w:ilvl="0" w:tplc="080A0019">
      <w:start w:val="1"/>
      <w:numFmt w:val="lowerLetter"/>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4">
    <w:nsid w:val="5F3B34A8"/>
    <w:multiLevelType w:val="multilevel"/>
    <w:tmpl w:val="78B2AA30"/>
    <w:lvl w:ilvl="0">
      <w:start w:val="1"/>
      <w:numFmt w:val="lowerLetter"/>
      <w:lvlText w:val="%1."/>
      <w:lvlJc w:val="left"/>
      <w:pPr>
        <w:tabs>
          <w:tab w:val="num" w:pos="786"/>
        </w:tabs>
        <w:ind w:left="786" w:hanging="360"/>
      </w:pPr>
      <w:rPr>
        <w:b w:val="0"/>
        <w:bCs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B707A3C"/>
    <w:multiLevelType w:val="hybridMultilevel"/>
    <w:tmpl w:val="BC46457A"/>
    <w:lvl w:ilvl="0" w:tplc="B2201236">
      <w:start w:val="1"/>
      <w:numFmt w:val="lowerLetter"/>
      <w:lvlText w:val="%1."/>
      <w:lvlJc w:val="left"/>
      <w:pPr>
        <w:ind w:left="780" w:hanging="360"/>
      </w:pPr>
      <w:rPr>
        <w:b w:val="0"/>
        <w:bCs w:val="0"/>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260A5"/>
    <w:rsid w:val="0003299E"/>
    <w:rsid w:val="000334CB"/>
    <w:rsid w:val="00044CB0"/>
    <w:rsid w:val="00053F65"/>
    <w:rsid w:val="0007585E"/>
    <w:rsid w:val="000901A4"/>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C43FE"/>
    <w:rsid w:val="001D3F92"/>
    <w:rsid w:val="001E2BEC"/>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84286"/>
    <w:rsid w:val="0049289A"/>
    <w:rsid w:val="0049528B"/>
    <w:rsid w:val="004A3456"/>
    <w:rsid w:val="004B1F43"/>
    <w:rsid w:val="004B5D7C"/>
    <w:rsid w:val="004D2CCB"/>
    <w:rsid w:val="004D37BB"/>
    <w:rsid w:val="004D659A"/>
    <w:rsid w:val="004E0A5C"/>
    <w:rsid w:val="004F0B57"/>
    <w:rsid w:val="00505ACB"/>
    <w:rsid w:val="0051760C"/>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3A79"/>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5390"/>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178F8"/>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A562A"/>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77722"/>
    <w:rsid w:val="00C80413"/>
    <w:rsid w:val="00C96150"/>
    <w:rsid w:val="00CA39C7"/>
    <w:rsid w:val="00CA4908"/>
    <w:rsid w:val="00CA772C"/>
    <w:rsid w:val="00CB54F7"/>
    <w:rsid w:val="00CB66CF"/>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71DB1"/>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698"/>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151412146">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1534</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cp:revision>
  <cp:lastPrinted>2021-08-31T22:49:00Z</cp:lastPrinted>
  <dcterms:created xsi:type="dcterms:W3CDTF">2021-08-31T16:21:00Z</dcterms:created>
  <dcterms:modified xsi:type="dcterms:W3CDTF">2021-08-31T22:57:00Z</dcterms:modified>
</cp:coreProperties>
</file>